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both"/>
        <w:rPr>
          <w:rFonts w:ascii="Times New Roman" w:hAnsi="Times New Roman" w:cs="Times New Roman"/>
        </w:rPr>
      </w:pPr>
      <w:r>
        <w:rPr>
          <w:rFonts w:cs="Times New Roman" w:ascii="Times New Roman" w:hAnsi="Times New Roman"/>
          <w:b/>
        </w:rPr>
        <w:t xml:space="preserve">OGGETTO </w:t>
      </w:r>
      <w:r>
        <w:rPr>
          <w:rFonts w:cs="Times New Roman" w:ascii="Times New Roman" w:hAnsi="Times New Roman"/>
        </w:rPr>
        <w:t xml:space="preserve">: riconoscimento legittimità debito fuori bilancio ai sensi dell'articolo 194 del Tuel lettera a)  derivante da sentenza esecutiva n. </w:t>
      </w:r>
      <w:r>
        <w:rPr>
          <w:rFonts w:cs="Times New Roman" w:ascii="Times New Roman" w:hAnsi="Times New Roman"/>
          <w:b/>
        </w:rPr>
        <w:t>02101/2020 del 25/06/2020</w:t>
      </w:r>
    </w:p>
    <w:p>
      <w:pPr>
        <w:pStyle w:val="Normal"/>
        <w:jc w:val="both"/>
        <w:rPr>
          <w:rFonts w:ascii="Times New Roman" w:hAnsi="Times New Roman" w:cs="Times New Roman"/>
        </w:rPr>
      </w:pPr>
      <w:r>
        <w:rPr>
          <w:rFonts w:cs="Times New Roman" w:ascii="Times New Roman" w:hAnsi="Times New Roman"/>
        </w:rPr>
        <w:t xml:space="preserve">Visto l'articolo 194 del Tuel  che disciplina le modalità di riconoscimento del debito fuori bilancio prevedendo al punto a) le sentenze esecutive. </w:t>
      </w:r>
    </w:p>
    <w:p>
      <w:pPr>
        <w:pStyle w:val="Normal"/>
        <w:spacing w:before="0" w:after="0"/>
        <w:jc w:val="both"/>
        <w:rPr>
          <w:rFonts w:ascii="Times New Roman" w:hAnsi="Times New Roman" w:cs="Times New Roman"/>
        </w:rPr>
      </w:pPr>
      <w:r>
        <w:rPr>
          <w:rFonts w:cs="Times New Roman" w:ascii="Times New Roman" w:hAnsi="Times New Roman"/>
        </w:rPr>
        <w:t xml:space="preserve">Precisato che con Deliberazione n. 27 del 2019 della Sezione Autonomie della Corte dei Conti è stato chiarito che è sempre necessaria la deliberazione del Consiglio Comunale che ne riconosca la legittimità per poter successivamente procedere al pagamento, come da estratto che si riporta: </w:t>
      </w:r>
    </w:p>
    <w:p>
      <w:pPr>
        <w:pStyle w:val="Normal"/>
        <w:ind w:left="284" w:hanging="0"/>
        <w:jc w:val="both"/>
        <w:rPr>
          <w:rFonts w:ascii="Times New Roman" w:hAnsi="Times New Roman" w:cs="Times New Roman"/>
          <w:i/>
          <w:i/>
          <w:sz w:val="23"/>
          <w:szCs w:val="23"/>
        </w:rPr>
      </w:pPr>
      <w:r>
        <w:rPr>
          <w:rFonts w:cs="Times New Roman" w:ascii="Times New Roman" w:hAnsi="Times New Roman"/>
          <w:i/>
          <w:sz w:val="23"/>
          <w:szCs w:val="23"/>
        </w:rPr>
        <w:t>Secondo un primo e consolidato orientamento – recepito, peraltro, dalla stessa Sezione remittente (cfr. deliberazione n. 29/2018/PAR) – valorizzando una interpretazione strettamente aderente al tenore letterale delle disposizioni recate dagli artt. 193 e 194 Tuel si ritiene come non possa, per via interpretativa, riconoscersi una differenziata regolazione per i debiti fuori bilancio afferenti a sentenze esecutive e come debba, dunque, anche per questi procedersi all’adozione della prescritta deliberazione di riconoscimento: tale atto, nel caso di specie, assolve alla funzione «non già di riconoscere la legittimità del debito, già verificata in sede giudiziale», ma piuttosto di «ricondurre al sistema di bilancio un fenomeno di rilevanza finanziaria maturato all’esterno», oltre che di «accertare le cause che hanno generato l’obbligo e le eventuali responsabilità».</w:t>
      </w:r>
    </w:p>
    <w:p>
      <w:pPr>
        <w:pStyle w:val="Default"/>
        <w:jc w:val="both"/>
        <w:rPr>
          <w:rFonts w:ascii="Times New Roman" w:hAnsi="Times New Roman" w:cs="Times New Roman"/>
          <w:sz w:val="23"/>
          <w:szCs w:val="23"/>
        </w:rPr>
      </w:pPr>
      <w:r>
        <w:rPr>
          <w:rFonts w:cs="Times New Roman" w:ascii="Times New Roman" w:hAnsi="Times New Roman"/>
          <w:sz w:val="23"/>
          <w:szCs w:val="23"/>
        </w:rPr>
        <w:t>In linea con tali principi è, altresì, l’interpretazione resa dalla Sezione di controllo per la Regione siciliana che ha sottolineato la necessarietà della delibera di riconoscimento del debito fuori bilancio, evidenziando come la stessa adempia non solo alla funzione di riconoscere la legittimità di una obbligazione e, nei casi di cui alla lett. e) dell’art. 194 Tuel, di valutare l’utilità, ma anche ad una finalità giuscontabilistica e di salvaguardia degli equilibri di bilancio che si esplica attraverso il reperimento delle risorse necessarie a finanziare il debito (cfr. deliberazione n. 78/2014/PAR</w:t>
      </w:r>
      <w:r>
        <w:rPr>
          <w:rFonts w:cs="Times New Roman" w:ascii="Times New Roman" w:hAnsi="Times New Roman"/>
          <w:b/>
          <w:bCs/>
          <w:sz w:val="23"/>
          <w:szCs w:val="23"/>
        </w:rPr>
        <w:t>)</w:t>
      </w:r>
      <w:r>
        <w:rPr>
          <w:rFonts w:cs="Times New Roman" w:ascii="Times New Roman" w:hAnsi="Times New Roman"/>
          <w:sz w:val="23"/>
          <w:szCs w:val="23"/>
        </w:rPr>
        <w:t xml:space="preserve">. </w:t>
      </w:r>
    </w:p>
    <w:p>
      <w:pPr>
        <w:pStyle w:val="Default"/>
        <w:rPr>
          <w:rFonts w:ascii="Times New Roman" w:hAnsi="Times New Roman" w:cs="Times New Roman"/>
          <w:sz w:val="23"/>
          <w:szCs w:val="23"/>
        </w:rPr>
      </w:pPr>
      <w:r>
        <w:rPr>
          <w:rFonts w:cs="Times New Roman" w:ascii="Times New Roman" w:hAnsi="Times New Roman"/>
          <w:sz w:val="23"/>
          <w:szCs w:val="23"/>
        </w:rPr>
      </w:r>
    </w:p>
    <w:p>
      <w:pPr>
        <w:pStyle w:val="Normal"/>
        <w:jc w:val="both"/>
        <w:rPr>
          <w:rFonts w:ascii="Times New Roman" w:hAnsi="Times New Roman" w:cs="Times New Roman"/>
          <w:sz w:val="23"/>
          <w:szCs w:val="23"/>
        </w:rPr>
      </w:pPr>
      <w:r>
        <w:rPr>
          <w:rFonts w:cs="Times New Roman" w:ascii="Times New Roman" w:hAnsi="Times New Roman"/>
          <w:sz w:val="23"/>
          <w:szCs w:val="23"/>
        </w:rPr>
        <w:t xml:space="preserve">A tal riguardo è stato, invero, evidenziato come le funzioni di indirizzo e la responsabilità politica del Consiglio comunale non siano </w:t>
      </w:r>
      <w:r>
        <w:rPr>
          <w:rFonts w:cs="Times New Roman" w:ascii="Times New Roman" w:hAnsi="Times New Roman"/>
          <w:i/>
          <w:sz w:val="23"/>
          <w:szCs w:val="23"/>
          <w:u w:val="single"/>
        </w:rPr>
        <w:t>circoscritte alla sola attività discrezionale, ma investano, di contro, anche attività e procedimenti di spesa di natura obbligatoria</w:t>
      </w:r>
      <w:r>
        <w:rPr>
          <w:rFonts w:cs="Times New Roman" w:ascii="Times New Roman" w:hAnsi="Times New Roman"/>
          <w:sz w:val="23"/>
          <w:szCs w:val="23"/>
        </w:rPr>
        <w:t xml:space="preserve"> (cfr. tra le altre 80/2015/PAR) e come, d’altro canto, il termine dilatorio previsto dall’art. 14 del d.l. n. 669/1996 sia più che congruo rispetto agli adempimenti di cui all’art. 194 Tuel.</w:t>
      </w:r>
    </w:p>
    <w:p>
      <w:pPr>
        <w:pStyle w:val="Normal"/>
        <w:spacing w:before="0" w:after="0"/>
        <w:jc w:val="both"/>
        <w:rPr>
          <w:rFonts w:ascii="Times New Roman" w:hAnsi="Times New Roman" w:cs="Times New Roman"/>
          <w:sz w:val="23"/>
          <w:szCs w:val="23"/>
        </w:rPr>
      </w:pPr>
      <w:r>
        <w:rPr>
          <w:rFonts w:cs="Times New Roman" w:ascii="Times New Roman" w:hAnsi="Times New Roman"/>
          <w:sz w:val="23"/>
          <w:szCs w:val="23"/>
        </w:rPr>
        <w:t xml:space="preserve">Tant’è che riporta ancora la Sezione : </w:t>
      </w:r>
    </w:p>
    <w:p>
      <w:pPr>
        <w:pStyle w:val="Default"/>
        <w:ind w:left="284" w:hanging="0"/>
        <w:jc w:val="both"/>
        <w:rPr>
          <w:rFonts w:ascii="Times New Roman" w:hAnsi="Times New Roman" w:cs="Times New Roman"/>
          <w:i/>
          <w:i/>
          <w:sz w:val="23"/>
          <w:szCs w:val="23"/>
        </w:rPr>
      </w:pPr>
      <w:r>
        <w:rPr>
          <w:rFonts w:cs="Times New Roman" w:ascii="Times New Roman" w:hAnsi="Times New Roman"/>
          <w:i/>
          <w:sz w:val="23"/>
          <w:szCs w:val="23"/>
        </w:rPr>
        <w:t xml:space="preserve">Coerenti sono, altresì, le conclusioni cui la medesima Sezione di controllo per la Regione siciliana è pervenuta con la deliberazione n. 18/2016/PAR laddove è rimarcato come il preventivo riconoscimento del debito da parte dell’Organo consiliare – disposto espressamente dall’art. 194 del Tuel - risulti necessario «anche nella ipotesi di debiti derivanti da sentenza esecutiva, per loro natura caratterizzati da assenza di discrezionalità per via del provvedimento giudiziario a monte che, accertando il diritto di credito del terzo, rende agevole la riconduzione al sistema di bilancio di un fenomeno di rilevanza finanziaria maturato all’esterno di esso». </w:t>
      </w:r>
    </w:p>
    <w:p>
      <w:pPr>
        <w:pStyle w:val="Normal"/>
        <w:ind w:left="284" w:hanging="0"/>
        <w:jc w:val="both"/>
        <w:rPr>
          <w:rFonts w:ascii="Times New Roman" w:hAnsi="Times New Roman" w:cs="Times New Roman"/>
          <w:i/>
          <w:i/>
          <w:sz w:val="23"/>
          <w:szCs w:val="23"/>
        </w:rPr>
      </w:pPr>
      <w:r>
        <w:rPr>
          <w:rFonts w:cs="Times New Roman" w:ascii="Times New Roman" w:hAnsi="Times New Roman"/>
          <w:i/>
          <w:sz w:val="23"/>
          <w:szCs w:val="23"/>
        </w:rPr>
        <w:t>A sostegno delle proprie conclusioni detta Sezione rileva che, diversamente opinando, si verrebbe a «sovvertire la fondamentale distinzione tra attività politica (di cui è manifestazione la deliberazione di riconoscimento del debito fuori bilancio) e attività gestionale dei dirigenti (cui deve ascriversi l’eventuale pagamento)».</w:t>
      </w:r>
    </w:p>
    <w:p>
      <w:pPr>
        <w:pStyle w:val="Default"/>
        <w:jc w:val="both"/>
        <w:rPr>
          <w:rFonts w:ascii="Times New Roman" w:hAnsi="Times New Roman" w:cs="Times New Roman"/>
        </w:rPr>
      </w:pPr>
      <w:r>
        <w:rPr>
          <w:rFonts w:cs="Times New Roman" w:ascii="Times New Roman" w:hAnsi="Times New Roman"/>
          <w:sz w:val="23"/>
          <w:szCs w:val="23"/>
        </w:rPr>
        <w:t xml:space="preserve">Conclusivamente ritiene, dunque, la Sezione che, alla luce del vigente quadro normativo, non può delinearsi un regime differenziato per la fattispecie di cui all’art. 194, comma 1, lett. a), </w:t>
      </w:r>
      <w:r>
        <w:rPr>
          <w:rFonts w:cs="Times New Roman" w:ascii="Times New Roman" w:hAnsi="Times New Roman"/>
        </w:rPr>
        <w:t xml:space="preserve">pertanto per procedere al pagamento deve essere prima riconosciuta la legittimità del debito fuori bilancio dal Consiglio Comunale; </w:t>
      </w:r>
    </w:p>
    <w:p>
      <w:pPr>
        <w:pStyle w:val="Normal"/>
        <w:spacing w:before="0" w:after="0"/>
        <w:jc w:val="both"/>
        <w:rPr/>
      </w:pPr>
      <w:r>
        <w:rPr>
          <w:rFonts w:cs="Times New Roman" w:ascii="Times New Roman" w:hAnsi="Times New Roman"/>
        </w:rPr>
        <w:t xml:space="preserve">Vista la </w:t>
      </w:r>
      <w:r>
        <w:rPr>
          <w:rFonts w:cs="Times New Roman" w:ascii="Times New Roman" w:hAnsi="Times New Roman"/>
          <w:b/>
          <w:bCs/>
        </w:rPr>
        <w:t xml:space="preserve">Sentenza di ottemperanza del TARSi – Catania n. </w:t>
      </w:r>
      <w:r>
        <w:rPr>
          <w:rFonts w:cs="Times New Roman" w:ascii="Times New Roman" w:hAnsi="Times New Roman"/>
          <w:b/>
        </w:rPr>
        <w:t>02101/2020 del 25/06/2020</w:t>
      </w:r>
      <w:r>
        <w:rPr>
          <w:rFonts w:cs="Times New Roman" w:ascii="Times New Roman" w:hAnsi="Times New Roman"/>
        </w:rPr>
        <w:t xml:space="preserve"> con la quale il Comune di Caltagirone veniva condannato al pagamento della somma </w:t>
      </w:r>
      <w:r>
        <w:rPr>
          <w:rFonts w:cs="Times New Roman" w:ascii="Times New Roman" w:hAnsi="Times New Roman"/>
          <w:b/>
          <w:i/>
        </w:rPr>
        <w:t xml:space="preserve">di € 19.509,55 oltre gli interessi  moratori ex D.Lgs.  n. </w:t>
      </w:r>
      <w:r>
        <w:rPr>
          <w:rFonts w:cs="Times New Roman" w:ascii="Times New Roman" w:hAnsi="Times New Roman"/>
          <w:b/>
          <w:i/>
          <w:iCs/>
        </w:rPr>
        <w:t xml:space="preserve">231/2002 </w:t>
      </w:r>
      <w:r>
        <w:rPr>
          <w:rFonts w:cs="Times New Roman" w:ascii="Times New Roman" w:hAnsi="Times New Roman"/>
          <w:b/>
          <w:i/>
        </w:rPr>
        <w:t>maturati e maturandi fino al soddisfo e le spese del procedimento di Ingiunzione he liquidò in complessivi € 519,00 oltre Euro 2.000,00,ed  oltre accessori di legge</w:t>
      </w:r>
      <w:r>
        <w:rPr>
          <w:rFonts w:cs="Times New Roman" w:ascii="Times New Roman" w:hAnsi="Times New Roman"/>
        </w:rPr>
        <w:t xml:space="preserve"> ovvero per complessivi euro </w:t>
      </w:r>
      <w:r>
        <w:rPr>
          <w:rFonts w:cs="Times New Roman" w:ascii="Times New Roman" w:hAnsi="Times New Roman"/>
          <w:b/>
          <w:bCs/>
        </w:rPr>
        <w:t>38.192,33</w:t>
      </w:r>
      <w:r>
        <w:rPr>
          <w:rFonts w:cs="Times New Roman" w:ascii="Times New Roman" w:hAnsi="Times New Roman"/>
        </w:rPr>
        <w:t xml:space="preserve"> </w:t>
      </w:r>
      <w:r>
        <w:rPr>
          <w:rFonts w:cs="Times New Roman" w:ascii="Times New Roman" w:hAnsi="Times New Roman"/>
          <w:b/>
          <w:bCs/>
        </w:rPr>
        <w:t xml:space="preserve"> </w:t>
      </w:r>
      <w:r>
        <w:rPr>
          <w:rFonts w:cs="Times New Roman" w:ascii="Times New Roman" w:hAnsi="Times New Roman"/>
        </w:rPr>
        <w:t>per le motivazioni che nel proseguo sinteticamente si riportano:</w:t>
      </w:r>
    </w:p>
    <w:p>
      <w:pPr>
        <w:pStyle w:val="Normal"/>
        <w:spacing w:before="0" w:after="0"/>
        <w:jc w:val="both"/>
        <w:rPr>
          <w:rFonts w:ascii="Times New Roman" w:hAnsi="Times New Roman" w:cs="Times New Roman"/>
        </w:rPr>
      </w:pPr>
      <w:r>
        <w:rPr>
          <w:rFonts w:cs="Times New Roman" w:ascii="Times New Roman" w:hAnsi="Times New Roman"/>
        </w:rPr>
        <w:t>Premesso che</w:t>
      </w:r>
    </w:p>
    <w:p>
      <w:pPr>
        <w:pStyle w:val="ListParagraph"/>
        <w:numPr>
          <w:ilvl w:val="0"/>
          <w:numId w:val="1"/>
        </w:numPr>
        <w:spacing w:before="0" w:after="0"/>
        <w:ind w:left="426" w:hanging="360"/>
        <w:contextualSpacing/>
        <w:jc w:val="both"/>
        <w:rPr>
          <w:rFonts w:ascii="Times New Roman" w:hAnsi="Times New Roman" w:cs="Times New Roman"/>
        </w:rPr>
      </w:pPr>
      <w:r>
        <w:rPr>
          <w:rFonts w:cs="Times New Roman" w:ascii="Times New Roman" w:hAnsi="Times New Roman"/>
        </w:rPr>
        <w:t xml:space="preserve">tra la Provincia Regionale di Ragusa ed il Comune di Caltagirone, </w:t>
      </w:r>
      <w:r>
        <w:rPr>
          <w:rFonts w:cs="Times New Roman" w:ascii="Times New Roman" w:hAnsi="Times New Roman"/>
          <w:b/>
        </w:rPr>
        <w:t>venne stipulato nel 2010</w:t>
      </w:r>
      <w:r>
        <w:rPr>
          <w:rFonts w:cs="Times New Roman" w:ascii="Times New Roman" w:hAnsi="Times New Roman"/>
        </w:rPr>
        <w:t xml:space="preserve"> apposito accordo per l'esecuzione, a pagamento, da parte della provincia Regionale di Ragusa ed in favore del Comune di Caltagirone di indagini geognostiche e prove di laboratorio, e che in virtù di detto accordo il Comune di  Caltagirone conferì vari incarichi alla Provincia  Regionale di Ragusa che li eseguì con la dovuta regolarità maturando un credito complessivo di € 19.509,55 a  saldo delle fatture emesse nn. 4-5-6/2010 e nn. 1-2-3-4-5- 10/2011,</w:t>
      </w:r>
    </w:p>
    <w:p>
      <w:pPr>
        <w:pStyle w:val="ListParagraph"/>
        <w:numPr>
          <w:ilvl w:val="0"/>
          <w:numId w:val="1"/>
        </w:numPr>
        <w:spacing w:before="0" w:after="0"/>
        <w:ind w:left="426" w:hanging="360"/>
        <w:contextualSpacing/>
        <w:jc w:val="both"/>
        <w:rPr>
          <w:rFonts w:ascii="Times New Roman" w:hAnsi="Times New Roman" w:cs="Times New Roman"/>
        </w:rPr>
      </w:pPr>
      <w:r>
        <w:rPr>
          <w:rFonts w:cs="Times New Roman" w:ascii="Times New Roman" w:hAnsi="Times New Roman"/>
        </w:rPr>
        <w:t xml:space="preserve">l'Amm.ne Prov.le non ricevendo il saldo del debito ricorreva alla procedura monitoria del </w:t>
      </w:r>
      <w:r>
        <w:rPr>
          <w:rFonts w:cs="Times New Roman" w:ascii="Times New Roman" w:hAnsi="Times New Roman"/>
          <w:i/>
        </w:rPr>
        <w:t>Decreto ingiuntivo</w:t>
      </w:r>
      <w:r>
        <w:rPr>
          <w:rFonts w:cs="Times New Roman" w:ascii="Times New Roman" w:hAnsi="Times New Roman"/>
        </w:rPr>
        <w:t>, per il recupero del proprio credito ammontane ad € 19.598,55, chiedendo inoltre il riconoscimento degli interessi moratori ex  D.Lgs.   n.  231/2002 maturati e maturandi fino al soddisfo;</w:t>
      </w:r>
    </w:p>
    <w:p>
      <w:pPr>
        <w:pStyle w:val="ListParagraph"/>
        <w:numPr>
          <w:ilvl w:val="0"/>
          <w:numId w:val="1"/>
        </w:numPr>
        <w:spacing w:before="0" w:after="0"/>
        <w:ind w:left="426" w:hanging="360"/>
        <w:contextualSpacing/>
        <w:jc w:val="both"/>
        <w:rPr>
          <w:rFonts w:ascii="Times New Roman" w:hAnsi="Times New Roman" w:cs="Times New Roman"/>
        </w:rPr>
      </w:pPr>
      <w:r>
        <w:rPr>
          <w:rFonts w:cs="Times New Roman" w:ascii="Times New Roman" w:hAnsi="Times New Roman"/>
        </w:rPr>
        <w:t xml:space="preserve">Il Tribunale di Caltagirone, ritenuto il credito vantato liquido ed esigibile, ingiunse con  </w:t>
      </w:r>
      <w:r>
        <w:rPr>
          <w:rFonts w:cs="Times New Roman" w:ascii="Times New Roman" w:hAnsi="Times New Roman"/>
          <w:b/>
          <w:i/>
          <w:u w:val="single"/>
        </w:rPr>
        <w:t xml:space="preserve">D.I. n. 34/2012 </w:t>
      </w:r>
      <w:r>
        <w:rPr>
          <w:rFonts w:cs="Times New Roman" w:ascii="Times New Roman" w:hAnsi="Times New Roman"/>
        </w:rPr>
        <w:t xml:space="preserve">al Comune di  Caltagirone di  pagare alla  Provincia Regionale di Ragusa entro  quaranta giorni  dalla notifica  del decreto medesimo la somma  </w:t>
      </w:r>
      <w:r>
        <w:rPr>
          <w:rFonts w:cs="Times New Roman" w:ascii="Times New Roman" w:hAnsi="Times New Roman"/>
          <w:b/>
          <w:i/>
        </w:rPr>
        <w:t xml:space="preserve">di € 19.509,55 oltre gli interessi  moratori ex D.Lgs.  n. </w:t>
      </w:r>
      <w:r>
        <w:rPr>
          <w:rFonts w:cs="Times New Roman" w:ascii="Times New Roman" w:hAnsi="Times New Roman"/>
          <w:b/>
          <w:i/>
          <w:iCs/>
        </w:rPr>
        <w:t xml:space="preserve">231/2002 </w:t>
      </w:r>
      <w:r>
        <w:rPr>
          <w:rFonts w:cs="Times New Roman" w:ascii="Times New Roman" w:hAnsi="Times New Roman"/>
          <w:b/>
          <w:i/>
        </w:rPr>
        <w:t>maturati e maturandi fino al soddisfo e le spese del procedimento di Ingiunzione he liquidò in complessivi € 519,00</w:t>
      </w:r>
      <w:r>
        <w:rPr>
          <w:rFonts w:cs="Times New Roman" w:ascii="Times New Roman" w:hAnsi="Times New Roman"/>
        </w:rPr>
        <w:t>, di cui € 258,00 per competenze, € 150,00 per onorario e  € 111,00 per spese vive, oltre spese generali con IV A e CPA, atto notificato al Comune di Caltagirone in data 16/02/2012 ed assunto al Prot. n. 8762, ;</w:t>
      </w:r>
    </w:p>
    <w:p>
      <w:pPr>
        <w:pStyle w:val="Normal"/>
        <w:spacing w:lineRule="auto" w:line="240" w:before="0" w:after="0"/>
        <w:jc w:val="both"/>
        <w:rPr>
          <w:rFonts w:ascii="Times New Roman" w:hAnsi="Times New Roman" w:cs="Times New Roman"/>
        </w:rPr>
      </w:pPr>
      <w:r>
        <w:rPr>
          <w:rFonts w:cs="Times New Roman" w:ascii="Times New Roman" w:hAnsi="Times New Roman"/>
        </w:rPr>
        <w:t xml:space="preserve">Considerato che la Provincia Regionale di Ragusa, successivamente divenuto </w:t>
      </w:r>
      <w:r>
        <w:rPr>
          <w:rFonts w:cs="Times New Roman" w:ascii="Times New Roman" w:hAnsi="Times New Roman"/>
          <w:i/>
          <w:u w:val="single"/>
        </w:rPr>
        <w:t>Libero Consorzio Comunale di Ragusa</w:t>
      </w:r>
      <w:r>
        <w:rPr>
          <w:rFonts w:cs="Times New Roman" w:ascii="Times New Roman" w:hAnsi="Times New Roman"/>
        </w:rPr>
        <w:t xml:space="preserve">, non ebbe alcun riscontro al richiamato D.I. n. 34/2012, presentò ricorso al T.A.R. Sicilia , Sez. di Catania, annotato al R.G. n. 1938/2019, per l’esecuzione del giudicato nascente dal decreto ingiuntivo n. 34/2012 emesso dal Tribunale di Caltagirone. </w:t>
      </w:r>
    </w:p>
    <w:p>
      <w:pPr>
        <w:pStyle w:val="Normal"/>
        <w:spacing w:lineRule="auto" w:line="240" w:before="0" w:after="0"/>
        <w:jc w:val="both"/>
        <w:rPr/>
      </w:pPr>
      <w:r>
        <w:rPr>
          <w:rFonts w:cs="Times New Roman" w:ascii="Times New Roman" w:hAnsi="Times New Roman"/>
        </w:rPr>
        <w:t>Il Tribunale Amministrativo Regionale, definitivamente pronunciando sul ricorso, lo accolse ordinando al Comune di Caltagirone di dare completa esecuzione al giudicato, adottando le necessarie determinazioni, nel termine di giorni 60 dalla comunicazione in via amministrativa della sentenza, ovvero dalla notificazione di essa ad istanza di parte</w:t>
      </w:r>
      <w:r>
        <w:rPr>
          <w:rFonts w:cs="Times New Roman" w:ascii="Times New Roman" w:hAnsi="Times New Roman"/>
          <w:b/>
        </w:rPr>
        <w:t>, notificazione avvenuta il 28/08/2020</w:t>
      </w:r>
      <w:r>
        <w:rPr>
          <w:rFonts w:cs="Times New Roman" w:ascii="Times New Roman" w:hAnsi="Times New Roman"/>
        </w:rPr>
        <w:t>, prot. n. 38115</w:t>
      </w:r>
      <w:r>
        <w:rPr>
          <w:rFonts w:cs="Times New Roman" w:ascii="Times New Roman" w:hAnsi="Times New Roman"/>
          <w:b/>
        </w:rPr>
        <w:t xml:space="preserve"> rappresentando che in caso di inadempienza ulteriore, avrebbe proceduto il Commissario ad acta, già nominato in persona del Segretario Generale del Comune di Catania,.</w:t>
      </w:r>
    </w:p>
    <w:p>
      <w:pPr>
        <w:pStyle w:val="Normal"/>
        <w:jc w:val="both"/>
        <w:rPr/>
      </w:pPr>
      <w:r>
        <w:rPr>
          <w:rFonts w:cs="Times New Roman" w:ascii="Times New Roman" w:hAnsi="Times New Roman"/>
          <w:b/>
        </w:rPr>
        <w:t>Condannava altresì il Comune al pagamento delle spese ed onorari scaturenti dal giudizio sul ricorso presentato, che liquidava in Euro 2.000,00, oltre accessori di legge.</w:t>
      </w:r>
    </w:p>
    <w:p>
      <w:pPr>
        <w:pStyle w:val="Normal"/>
        <w:jc w:val="both"/>
        <w:rPr>
          <w:b w:val="false"/>
          <w:b w:val="false"/>
          <w:bCs w:val="false"/>
        </w:rPr>
      </w:pPr>
      <w:r>
        <w:rPr>
          <w:rFonts w:cs="Times New Roman" w:ascii="Times New Roman" w:hAnsi="Times New Roman"/>
          <w:b w:val="false"/>
          <w:bCs w:val="false"/>
        </w:rPr>
        <w:t>Per evitare il commissariamento quaindi al fine di arrecare ulteriori danni all’Ente,i è proceduto, con urgenza, all’impegno della necessaria spesa  adottando la Determinazione Dirigenziale n. ___   del _______</w:t>
      </w:r>
    </w:p>
    <w:p>
      <w:pPr>
        <w:pStyle w:val="Normal"/>
        <w:jc w:val="both"/>
        <w:rPr>
          <w:rFonts w:ascii="Times New Roman" w:hAnsi="Times New Roman" w:cs="Times New Roman"/>
        </w:rPr>
      </w:pPr>
      <w:r>
        <w:rPr>
          <w:rFonts w:cs="Times New Roman" w:ascii="Times New Roman" w:hAnsi="Times New Roman"/>
        </w:rPr>
        <w:t xml:space="preserve">Ritenuto di procedere al riconoscimento della legittima del debito fuori bilancio al fine di evitare ulteriori spese a carico dell'Ente; </w:t>
      </w:r>
    </w:p>
    <w:p>
      <w:pPr>
        <w:pStyle w:val="Normal"/>
        <w:jc w:val="both"/>
        <w:rPr>
          <w:rFonts w:ascii="Times New Roman" w:hAnsi="Times New Roman" w:cs="Times New Roman"/>
        </w:rPr>
      </w:pPr>
      <w:r>
        <w:rPr>
          <w:rFonts w:cs="Times New Roman" w:ascii="Times New Roman" w:hAnsi="Times New Roman"/>
        </w:rPr>
        <w:t xml:space="preserve">Vista la deliberazione di Consiglio comunale con la quale si approva il rendiconto di gestione dell'esercizio 2019 n. 28 del 25 novembre del 2020; </w:t>
      </w:r>
    </w:p>
    <w:p>
      <w:pPr>
        <w:pStyle w:val="Normal"/>
        <w:jc w:val="both"/>
        <w:rPr>
          <w:rFonts w:ascii="Times New Roman" w:hAnsi="Times New Roman" w:cs="Times New Roman"/>
        </w:rPr>
      </w:pPr>
      <w:r>
        <w:rPr>
          <w:rFonts w:cs="Times New Roman" w:ascii="Times New Roman" w:hAnsi="Times New Roman"/>
        </w:rPr>
        <w:t>Vista la deliberazione del Consiglio Comunale con la quale si approva il bilancio di previsione per l'anno 2020-21-22;</w:t>
      </w:r>
      <w:bookmarkStart w:id="0" w:name="_GoBack"/>
      <w:bookmarkEnd w:id="0"/>
      <w:r>
        <w:rPr>
          <w:rFonts w:cs="Times New Roman" w:ascii="Times New Roman" w:hAnsi="Times New Roman"/>
        </w:rPr>
        <w:t xml:space="preserve"> </w:t>
      </w:r>
    </w:p>
    <w:p>
      <w:pPr>
        <w:pStyle w:val="Normal"/>
        <w:jc w:val="both"/>
        <w:rPr>
          <w:rFonts w:ascii="Times New Roman" w:hAnsi="Times New Roman" w:cs="Times New Roman"/>
        </w:rPr>
      </w:pPr>
      <w:r>
        <w:rPr>
          <w:rFonts w:cs="Times New Roman" w:ascii="Times New Roman" w:hAnsi="Times New Roman"/>
        </w:rPr>
        <w:t xml:space="preserve">Visto il capitolo 721.00 che contiene lo stanziamento per il riconoscimento dei debiti fuori bilancio; </w:t>
      </w:r>
    </w:p>
    <w:p>
      <w:pPr>
        <w:pStyle w:val="Normal"/>
        <w:jc w:val="both"/>
        <w:rPr>
          <w:rFonts w:ascii="Times New Roman" w:hAnsi="Times New Roman" w:cs="Times New Roman"/>
        </w:rPr>
      </w:pPr>
      <w:r>
        <w:rPr>
          <w:rFonts w:cs="Times New Roman" w:ascii="Times New Roman" w:hAnsi="Times New Roman"/>
        </w:rPr>
        <w:t>Acquisito il parere del Collegio dei Revisori dei conti reso in data ...................</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t xml:space="preserve">PROPONE DI </w:t>
      </w:r>
    </w:p>
    <w:p>
      <w:pPr>
        <w:pStyle w:val="Normal"/>
        <w:jc w:val="both"/>
        <w:rPr/>
      </w:pPr>
      <w:r>
        <w:rPr>
          <w:rFonts w:cs="Times New Roman" w:ascii="Times New Roman" w:hAnsi="Times New Roman"/>
        </w:rPr>
        <w:t xml:space="preserve">1. riconoscere la legittimità del debito fuori bilancio derivante dalla sentenza di ottemperanza del TARSi – Catania n. 02101/2020 del 25/06/2020, </w:t>
      </w:r>
      <w:r>
        <w:rPr>
          <w:rFonts w:cs="Times New Roman" w:ascii="Times New Roman" w:hAnsi="Times New Roman"/>
        </w:rPr>
        <w:t>esecutiva,</w:t>
      </w:r>
      <w:r>
        <w:rPr>
          <w:rFonts w:cs="Times New Roman" w:ascii="Times New Roman" w:hAnsi="Times New Roman"/>
        </w:rPr>
        <w:t xml:space="preserve"> emessa a favore del </w:t>
      </w:r>
      <w:r>
        <w:rPr>
          <w:rFonts w:cs="Times New Roman" w:ascii="Times New Roman" w:hAnsi="Times New Roman"/>
          <w:i/>
          <w:u w:val="single"/>
        </w:rPr>
        <w:t>Libero Consorzio Comunale di Ragusa</w:t>
      </w:r>
      <w:r>
        <w:rPr>
          <w:rFonts w:cs="Times New Roman" w:ascii="Times New Roman" w:hAnsi="Times New Roman"/>
        </w:rPr>
        <w:t xml:space="preserve"> e contro il Comune di Caltagirone per il pagamento di complessivi </w:t>
      </w:r>
      <w:r>
        <w:rPr>
          <w:rFonts w:cs="Times New Roman" w:ascii="Times New Roman" w:hAnsi="Times New Roman"/>
          <w:b/>
          <w:bCs/>
        </w:rPr>
        <w:t xml:space="preserve">euro </w:t>
      </w:r>
      <w:r>
        <w:rPr>
          <w:rFonts w:cs="Times New Roman" w:ascii="Times New Roman" w:hAnsi="Times New Roman"/>
          <w:b/>
          <w:bCs/>
        </w:rPr>
        <w:t>38.192,33</w:t>
      </w:r>
      <w:r>
        <w:rPr>
          <w:rFonts w:cs="Times New Roman" w:ascii="Times New Roman" w:hAnsi="Times New Roman"/>
          <w:b/>
          <w:bCs/>
        </w:rPr>
        <w:t xml:space="preserve"> </w:t>
      </w:r>
      <w:r>
        <w:rPr>
          <w:rFonts w:cs="Times New Roman" w:ascii="Times New Roman" w:hAnsi="Times New Roman"/>
        </w:rPr>
        <w:t xml:space="preserve"> incluse le spese legali dei giudizi; </w:t>
      </w:r>
    </w:p>
    <w:p>
      <w:pPr>
        <w:pStyle w:val="Normal"/>
        <w:jc w:val="both"/>
        <w:rPr/>
      </w:pPr>
      <w:r>
        <w:rPr>
          <w:rFonts w:cs="Times New Roman" w:ascii="Times New Roman" w:hAnsi="Times New Roman"/>
        </w:rPr>
        <w:t>2. di dare atto che l’impegno è stato assunto con determinazione dirigenziale n. _________ del-__________, al fine di evitare ulteriori danni all’Ente.</w:t>
      </w:r>
    </w:p>
    <w:p>
      <w:pPr>
        <w:pStyle w:val="Normal"/>
        <w:jc w:val="both"/>
        <w:rPr/>
      </w:pPr>
      <w:r>
        <w:rPr>
          <w:rFonts w:cs="Times New Roman" w:ascii="Times New Roman" w:hAnsi="Times New Roman"/>
        </w:rPr>
        <w:t xml:space="preserve">3. di trasmettere la presente deliberazione alla Procura della Corte dei Conti sezione giurisdizionale della regione siciliana a cura della Segreteria Generale; </w:t>
      </w:r>
    </w:p>
    <w:p>
      <w:pPr>
        <w:pStyle w:val="Normal"/>
        <w:spacing w:before="0" w:after="200"/>
        <w:rPr/>
      </w:pPr>
      <w:r>
        <w:rPr/>
      </w:r>
    </w:p>
    <w:sectPr>
      <w:type w:val="nextPage"/>
      <w:pgSz w:w="11906" w:h="16838"/>
      <w:pgMar w:left="1134" w:right="1134" w:header="0" w:top="1417"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roman"/>
    <w:pitch w:val="variable"/>
  </w:font>
  <w:font w:name="Book Antiqua">
    <w:charset w:val="00"/>
    <w:family w:val="roman"/>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Symbol" w:hAnsi="Symbol" w:cs="Symbol" w:hint="default"/>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96"/>
  <w:defaultTabStop w:val="708"/>
  <w:compat>
    <w:compatSetting w:name="compatibilityMode" w:uri="http://schemas.microsoft.com/office/word" w:val="12"/>
  </w:compat>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it-IT"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1b2bd9"/>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it-IT" w:eastAsia="en-US" w:bidi="ar-SA"/>
    </w:rPr>
  </w:style>
  <w:style w:type="character" w:styleId="DefaultParagraphFont" w:default="1">
    <w:name w:val="Default Paragraph Font"/>
    <w:uiPriority w:val="1"/>
    <w:semiHidden/>
    <w:unhideWhenUsed/>
    <w:qFormat/>
    <w:rPr/>
  </w:style>
  <w:style w:type="character" w:styleId="ListLabel1">
    <w:name w:val="ListLabel 1"/>
    <w:qFormat/>
    <w:rPr>
      <w:rFonts w:eastAsia="Times New Roman" w:cs="Times New Roman"/>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eastAsia="Times New Roman" w:cs="Times New Roman"/>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ascii="Times New Roman" w:hAnsi="Times New Roman" w:cs="Symbol"/>
    </w:rPr>
  </w:style>
  <w:style w:type="character" w:styleId="ListLabel13">
    <w:name w:val="ListLabel 13"/>
    <w:qFormat/>
    <w:rPr>
      <w:rFonts w:cs="Courier New"/>
    </w:rPr>
  </w:style>
  <w:style w:type="character" w:styleId="ListLabel14">
    <w:name w:val="ListLabel 14"/>
    <w:qFormat/>
    <w:rPr>
      <w:rFonts w:cs="Wingdings"/>
    </w:rPr>
  </w:style>
  <w:style w:type="character" w:styleId="ListLabel15">
    <w:name w:val="ListLabel 15"/>
    <w:qFormat/>
    <w:rPr>
      <w:rFonts w:cs="Symbol"/>
    </w:rPr>
  </w:style>
  <w:style w:type="character" w:styleId="ListLabel16">
    <w:name w:val="ListLabel 16"/>
    <w:qFormat/>
    <w:rPr>
      <w:rFonts w:cs="Courier New"/>
    </w:rPr>
  </w:style>
  <w:style w:type="character" w:styleId="ListLabel17">
    <w:name w:val="ListLabel 17"/>
    <w:qFormat/>
    <w:rPr>
      <w:rFonts w:cs="Wingdings"/>
    </w:rPr>
  </w:style>
  <w:style w:type="character" w:styleId="ListLabel18">
    <w:name w:val="ListLabel 18"/>
    <w:qFormat/>
    <w:rPr>
      <w:rFonts w:cs="Symbol"/>
    </w:rPr>
  </w:style>
  <w:style w:type="character" w:styleId="ListLabel19">
    <w:name w:val="ListLabel 19"/>
    <w:qFormat/>
    <w:rPr>
      <w:rFonts w:cs="Courier New"/>
    </w:rPr>
  </w:style>
  <w:style w:type="character" w:styleId="ListLabel20">
    <w:name w:val="ListLabel 20"/>
    <w:qFormat/>
    <w:rPr>
      <w:rFonts w:cs="Wingdings"/>
    </w:rPr>
  </w:style>
  <w:style w:type="character" w:styleId="ListLabel21">
    <w:name w:val="ListLabel 21"/>
    <w:qFormat/>
    <w:rPr>
      <w:rFonts w:ascii="Times New Roman" w:hAnsi="Times New Roman" w:cs="Symbol"/>
    </w:rPr>
  </w:style>
  <w:style w:type="character" w:styleId="ListLabel22">
    <w:name w:val="ListLabel 22"/>
    <w:qFormat/>
    <w:rPr>
      <w:rFonts w:cs="Courier New"/>
    </w:rPr>
  </w:style>
  <w:style w:type="character" w:styleId="ListLabel23">
    <w:name w:val="ListLabel 23"/>
    <w:qFormat/>
    <w:rPr>
      <w:rFonts w:cs="Wingdings"/>
    </w:rPr>
  </w:style>
  <w:style w:type="character" w:styleId="ListLabel24">
    <w:name w:val="ListLabel 24"/>
    <w:qFormat/>
    <w:rPr>
      <w:rFonts w:cs="Symbol"/>
    </w:rPr>
  </w:style>
  <w:style w:type="character" w:styleId="ListLabel25">
    <w:name w:val="ListLabel 25"/>
    <w:qFormat/>
    <w:rPr>
      <w:rFonts w:cs="Courier New"/>
    </w:rPr>
  </w:style>
  <w:style w:type="character" w:styleId="ListLabel26">
    <w:name w:val="ListLabel 26"/>
    <w:qFormat/>
    <w:rPr>
      <w:rFonts w:cs="Wingdings"/>
    </w:rPr>
  </w:style>
  <w:style w:type="character" w:styleId="ListLabel27">
    <w:name w:val="ListLabel 27"/>
    <w:qFormat/>
    <w:rPr>
      <w:rFonts w:cs="Symbol"/>
    </w:rPr>
  </w:style>
  <w:style w:type="character" w:styleId="ListLabel28">
    <w:name w:val="ListLabel 28"/>
    <w:qFormat/>
    <w:rPr>
      <w:rFonts w:cs="Courier New"/>
    </w:rPr>
  </w:style>
  <w:style w:type="character" w:styleId="ListLabel29">
    <w:name w:val="ListLabel 29"/>
    <w:qFormat/>
    <w:rPr>
      <w:rFonts w:cs="Wingdings"/>
    </w:rPr>
  </w:style>
  <w:style w:type="paragraph" w:styleId="Titolo">
    <w:name w:val="Titolo"/>
    <w:basedOn w:val="Normal"/>
    <w:next w:val="Corpodeltesto"/>
    <w:qFormat/>
    <w:pPr>
      <w:keepNext w:val="true"/>
      <w:spacing w:before="240" w:after="120"/>
    </w:pPr>
    <w:rPr>
      <w:rFonts w:ascii="Liberation Sans" w:hAnsi="Liberation Sans" w:eastAsia="Microsoft YaHei" w:cs="Mangal"/>
      <w:sz w:val="28"/>
      <w:szCs w:val="28"/>
    </w:rPr>
  </w:style>
  <w:style w:type="paragraph" w:styleId="Corpodeltesto">
    <w:name w:val="Body Text"/>
    <w:basedOn w:val="Normal"/>
    <w:pPr>
      <w:spacing w:lineRule="auto" w:line="276" w:before="0" w:after="140"/>
    </w:pPr>
    <w:rPr/>
  </w:style>
  <w:style w:type="paragraph" w:styleId="Elenco">
    <w:name w:val="List"/>
    <w:basedOn w:val="Corpodeltesto"/>
    <w:pPr/>
    <w:rPr>
      <w:rFonts w:cs="Mangal"/>
    </w:rPr>
  </w:style>
  <w:style w:type="paragraph" w:styleId="Didascalia">
    <w:name w:val="Caption"/>
    <w:basedOn w:val="Normal"/>
    <w:qFormat/>
    <w:pPr>
      <w:suppressLineNumbers/>
      <w:spacing w:before="120" w:after="120"/>
    </w:pPr>
    <w:rPr>
      <w:rFonts w:cs="Mangal"/>
      <w:i/>
      <w:iCs/>
      <w:sz w:val="24"/>
      <w:szCs w:val="24"/>
    </w:rPr>
  </w:style>
  <w:style w:type="paragraph" w:styleId="Indice">
    <w:name w:val="Indice"/>
    <w:basedOn w:val="Normal"/>
    <w:qFormat/>
    <w:pPr>
      <w:suppressLineNumbers/>
    </w:pPr>
    <w:rPr>
      <w:rFonts w:cs="Mangal"/>
    </w:rPr>
  </w:style>
  <w:style w:type="paragraph" w:styleId="Default" w:customStyle="1">
    <w:name w:val="Default"/>
    <w:qFormat/>
    <w:rsid w:val="000a3b47"/>
    <w:pPr>
      <w:widowControl/>
      <w:bidi w:val="0"/>
      <w:spacing w:lineRule="auto" w:line="240" w:before="0" w:after="0"/>
      <w:jc w:val="left"/>
    </w:pPr>
    <w:rPr>
      <w:rFonts w:ascii="Book Antiqua" w:hAnsi="Book Antiqua" w:eastAsia="Calibri" w:cs="Book Antiqua"/>
      <w:color w:val="000000"/>
      <w:kern w:val="0"/>
      <w:sz w:val="24"/>
      <w:szCs w:val="24"/>
      <w:lang w:val="it-IT" w:eastAsia="en-US" w:bidi="ar-SA"/>
    </w:rPr>
  </w:style>
  <w:style w:type="paragraph" w:styleId="ListParagraph">
    <w:name w:val="List Paragraph"/>
    <w:basedOn w:val="Normal"/>
    <w:uiPriority w:val="34"/>
    <w:qFormat/>
    <w:rsid w:val="00e82642"/>
    <w:pPr>
      <w:spacing w:before="0" w:after="200"/>
      <w:ind w:left="720" w:hanging="0"/>
      <w:contextualSpacing/>
    </w:pPr>
    <w:rPr/>
  </w:style>
  <w:style w:type="numbering" w:styleId="NoList" w:default="1">
    <w:name w:val="No List"/>
    <w:uiPriority w:val="99"/>
    <w:semiHidden/>
    <w:unhideWhenUsed/>
    <w:qFormat/>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4090F5-B83B-46E8-8002-3BE8357E2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Application>LibreOffice/6.2.4.2$Windows_X86_64 LibreOffice_project/2412653d852ce75f65fbfa83fb7e7b669a126d64</Application>
  <Pages>3</Pages>
  <Words>1242</Words>
  <Characters>7209</Characters>
  <CharactersWithSpaces>8467</CharactersWithSpaces>
  <Paragraphs>28</Paragraphs>
  <Company>Hewlett-Packard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2020-12-20T10:00:00Z</dcterms:created>
  <dc:creator>Carolina</dc:creator>
  <dc:description/>
  <dc:language>it-IT</dc:language>
  <cp:lastModifiedBy/>
  <dcterms:modified xsi:type="dcterms:W3CDTF">2020-12-30T12:20:54Z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